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7236" w14:textId="77777777" w:rsidR="00E46914" w:rsidRPr="00FE3A0F" w:rsidRDefault="00E46914" w:rsidP="00E46914">
      <w:pPr>
        <w:pStyle w:val="Otsikko10"/>
      </w:pPr>
      <w:r>
        <w:t xml:space="preserve">Sylkirauhasen </w:t>
      </w:r>
      <w:proofErr w:type="spellStart"/>
      <w:r>
        <w:t>botulinumtoksiini</w:t>
      </w:r>
      <w:proofErr w:type="spellEnd"/>
      <w:r>
        <w:t>-injektio XX2AT</w:t>
      </w:r>
    </w:p>
    <w:p w14:paraId="5145607A" w14:textId="6114C69C" w:rsidR="00E46914" w:rsidRPr="00FE3A0F" w:rsidRDefault="00E46914" w:rsidP="00E46914">
      <w:pPr>
        <w:rPr>
          <w:rFonts w:cs="Times New Roman"/>
        </w:rPr>
      </w:pPr>
      <w:r>
        <w:rPr>
          <w:rFonts w:cs="Times New Roman"/>
        </w:rPr>
        <w:t xml:space="preserve">Syljen liikaerityksen hillitsemiseen voidaan </w:t>
      </w:r>
      <w:proofErr w:type="spellStart"/>
      <w:r>
        <w:rPr>
          <w:rFonts w:cs="Times New Roman"/>
        </w:rPr>
        <w:t>uä-</w:t>
      </w:r>
      <w:proofErr w:type="spellEnd"/>
      <w:r>
        <w:rPr>
          <w:rFonts w:cs="Times New Roman"/>
        </w:rPr>
        <w:t xml:space="preserve"> ohjatusti injektoida Botoxia </w:t>
      </w:r>
      <w:r w:rsidRPr="00AE1235">
        <w:rPr>
          <w:rFonts w:cs="Times New Roman"/>
        </w:rPr>
        <w:t>sylkirauhasiin</w:t>
      </w:r>
      <w:r>
        <w:rPr>
          <w:rFonts w:cs="Times New Roman"/>
        </w:rPr>
        <w:t xml:space="preserve">. Toimenpide tehdään keskusröntgenin </w:t>
      </w:r>
      <w:proofErr w:type="spellStart"/>
      <w:r>
        <w:rPr>
          <w:rFonts w:cs="Times New Roman"/>
        </w:rPr>
        <w:t>neuroangiosalissa</w:t>
      </w:r>
      <w:proofErr w:type="spellEnd"/>
      <w:r>
        <w:rPr>
          <w:rFonts w:cs="Times New Roman"/>
        </w:rPr>
        <w:t xml:space="preserve"> yleensä yleisanestesiassa tai sedaatiossa, potilaan voinnin mukaan. </w:t>
      </w:r>
    </w:p>
    <w:p w14:paraId="6D930082" w14:textId="77777777" w:rsidR="00E46914" w:rsidRPr="00FE3A0F" w:rsidRDefault="00E46914" w:rsidP="00E46914">
      <w:pPr>
        <w:pStyle w:val="Otsikko20"/>
      </w:pPr>
      <w:r w:rsidRPr="00FE3A0F">
        <w:t>Indikaatiot /Kontraindikaatiot</w:t>
      </w:r>
    </w:p>
    <w:p w14:paraId="56636A78" w14:textId="77777777" w:rsidR="00E46914" w:rsidRPr="006F5738" w:rsidRDefault="00E46914" w:rsidP="00E46914">
      <w:pPr>
        <w:rPr>
          <w:rFonts w:cs="Times New Roman"/>
        </w:rPr>
      </w:pPr>
      <w:r w:rsidRPr="006F5738">
        <w:rPr>
          <w:rFonts w:cs="Times New Roman"/>
        </w:rPr>
        <w:t>Indikaatiot</w:t>
      </w:r>
      <w:r w:rsidRPr="006F5738">
        <w:rPr>
          <w:rFonts w:cs="Times New Roman"/>
        </w:rPr>
        <w:tab/>
      </w:r>
      <w:r w:rsidRPr="006F5738">
        <w:rPr>
          <w:rFonts w:cs="Times New Roman"/>
        </w:rPr>
        <w:tab/>
        <w:t>Syljen liikaeritys</w:t>
      </w:r>
    </w:p>
    <w:p w14:paraId="3EF869F1" w14:textId="77777777" w:rsidR="00E46914" w:rsidRPr="00D33AD4" w:rsidRDefault="00E46914" w:rsidP="00E46914">
      <w:pPr>
        <w:spacing w:line="120" w:lineRule="auto"/>
        <w:rPr>
          <w:rFonts w:cs="Times New Roman"/>
          <w:color w:val="FF0000"/>
        </w:rPr>
      </w:pPr>
    </w:p>
    <w:p w14:paraId="5B050F0D" w14:textId="77777777" w:rsidR="00E46914" w:rsidRDefault="00E46914" w:rsidP="00E46914">
      <w:pPr>
        <w:ind w:left="2608" w:hanging="2608"/>
        <w:rPr>
          <w:rFonts w:cs="Times New Roman"/>
        </w:rPr>
      </w:pPr>
      <w:r w:rsidRPr="002D4134">
        <w:rPr>
          <w:rFonts w:cs="Times New Roman"/>
        </w:rPr>
        <w:t>Kontraindikaatiot:</w:t>
      </w:r>
      <w:r w:rsidRPr="002D4134">
        <w:rPr>
          <w:rFonts w:cs="Times New Roman"/>
        </w:rPr>
        <w:tab/>
      </w:r>
      <w:r>
        <w:rPr>
          <w:rFonts w:cs="Times New Roman"/>
        </w:rPr>
        <w:t>Aikaisempi allerginen reaktio hoidossa käytettävälle aineelle</w:t>
      </w:r>
    </w:p>
    <w:p w14:paraId="6C1F5105" w14:textId="77777777" w:rsidR="00E46914" w:rsidRPr="002D4134" w:rsidRDefault="00E46914" w:rsidP="00E46914">
      <w:pPr>
        <w:ind w:left="2608"/>
        <w:rPr>
          <w:rFonts w:cs="Times New Roman"/>
          <w:b/>
        </w:rPr>
      </w:pPr>
      <w:r>
        <w:rPr>
          <w:rFonts w:cs="Times New Roman"/>
        </w:rPr>
        <w:t>Pistokohdan tulehdus</w:t>
      </w:r>
    </w:p>
    <w:p w14:paraId="08740ADB" w14:textId="77777777" w:rsidR="00E46914" w:rsidRPr="009923FA" w:rsidRDefault="00E46914" w:rsidP="00E46914">
      <w:pPr>
        <w:pStyle w:val="Otsikko20"/>
      </w:pPr>
      <w:r w:rsidRPr="00FE3A0F">
        <w:t>Esivalmistelut</w:t>
      </w:r>
    </w:p>
    <w:p w14:paraId="66D12589" w14:textId="77777777" w:rsidR="00E46914" w:rsidRPr="004C60E4" w:rsidRDefault="00E46914" w:rsidP="00E46914">
      <w:pPr>
        <w:pStyle w:val="Luettelokappale"/>
        <w:numPr>
          <w:ilvl w:val="0"/>
          <w:numId w:val="25"/>
        </w:numPr>
        <w:rPr>
          <w:b/>
        </w:rPr>
      </w:pPr>
      <w:r>
        <w:t>Polikliinisella potilaalla oltava seurantapaikka toimenpiteen jälkeen 2 tunniksi</w:t>
      </w:r>
    </w:p>
    <w:p w14:paraId="0099D888" w14:textId="77777777" w:rsidR="00E46914" w:rsidRPr="009923FA" w:rsidRDefault="00E46914" w:rsidP="00E46914">
      <w:pPr>
        <w:pStyle w:val="Luettelokappale"/>
        <w:numPr>
          <w:ilvl w:val="0"/>
          <w:numId w:val="25"/>
        </w:numPr>
        <w:rPr>
          <w:b/>
        </w:rPr>
      </w:pPr>
      <w:r>
        <w:t>Steriilin pöydän teko</w:t>
      </w:r>
    </w:p>
    <w:p w14:paraId="29149221" w14:textId="77777777" w:rsidR="00E46914" w:rsidRDefault="00E46914" w:rsidP="00E46914">
      <w:pPr>
        <w:pStyle w:val="Otsikko20"/>
      </w:pPr>
      <w:r w:rsidRPr="00FE3A0F">
        <w:t>Välineet</w:t>
      </w:r>
    </w:p>
    <w:p w14:paraId="1536C2BA" w14:textId="77777777" w:rsidR="00E46914" w:rsidRPr="00A3508F" w:rsidRDefault="00E46914" w:rsidP="00E46914">
      <w:pPr>
        <w:rPr>
          <w:rFonts w:cs="Times New Roman"/>
        </w:rPr>
      </w:pPr>
      <w:r w:rsidRPr="00A3508F">
        <w:rPr>
          <w:rFonts w:cs="Times New Roman"/>
        </w:rPr>
        <w:t xml:space="preserve"> Steriilille pöydälle:</w:t>
      </w:r>
    </w:p>
    <w:p w14:paraId="70D9042A" w14:textId="77777777" w:rsidR="00E46914" w:rsidRPr="00D33AD4" w:rsidRDefault="00D52282" w:rsidP="00E46914">
      <w:pPr>
        <w:pStyle w:val="Luettelokappale"/>
        <w:numPr>
          <w:ilvl w:val="0"/>
          <w:numId w:val="31"/>
        </w:numPr>
        <w:rPr>
          <w:rFonts w:cs="Times New Roman"/>
          <w:u w:val="single"/>
        </w:rPr>
      </w:pPr>
      <w:hyperlink r:id="rId12" w:history="1">
        <w:r w:rsidR="00E46914" w:rsidRPr="00D33AD4">
          <w:rPr>
            <w:rFonts w:cs="Times New Roman"/>
            <w:color w:val="4B6BC8" w:themeColor="hyperlink"/>
            <w:u w:val="single"/>
          </w:rPr>
          <w:t>Isompi biopsiasetti</w:t>
        </w:r>
      </w:hyperlink>
    </w:p>
    <w:p w14:paraId="5081B65B" w14:textId="77777777" w:rsidR="00E46914" w:rsidRPr="00754DE8" w:rsidRDefault="00E46914" w:rsidP="00E46914">
      <w:pPr>
        <w:pStyle w:val="Luettelokappale"/>
        <w:numPr>
          <w:ilvl w:val="0"/>
          <w:numId w:val="26"/>
        </w:numPr>
        <w:rPr>
          <w:rFonts w:cs="Times New Roman"/>
          <w:b/>
          <w:sz w:val="24"/>
          <w:szCs w:val="24"/>
        </w:rPr>
      </w:pPr>
      <w:r>
        <w:rPr>
          <w:rFonts w:cs="Times New Roman"/>
        </w:rPr>
        <w:t>4 x sininen neula 23G (0,6×2.5 mm)</w:t>
      </w:r>
    </w:p>
    <w:p w14:paraId="1B3DA34B" w14:textId="77777777" w:rsidR="00E46914" w:rsidRPr="00754DE8" w:rsidRDefault="00E46914" w:rsidP="00E46914">
      <w:pPr>
        <w:pStyle w:val="Luettelokappale"/>
        <w:numPr>
          <w:ilvl w:val="0"/>
          <w:numId w:val="26"/>
        </w:numPr>
        <w:rPr>
          <w:rFonts w:cs="Times New Roman"/>
          <w:b/>
          <w:sz w:val="24"/>
          <w:szCs w:val="24"/>
        </w:rPr>
      </w:pPr>
      <w:r>
        <w:rPr>
          <w:rFonts w:cs="Times New Roman"/>
        </w:rPr>
        <w:t>K</w:t>
      </w:r>
      <w:r w:rsidRPr="00754DE8">
        <w:rPr>
          <w:rFonts w:cs="Times New Roman"/>
        </w:rPr>
        <w:t xml:space="preserve">eltainen vetoneula </w:t>
      </w:r>
      <w:r>
        <w:rPr>
          <w:rFonts w:cs="Times New Roman"/>
        </w:rPr>
        <w:t>20G (</w:t>
      </w:r>
      <w:r w:rsidRPr="00754DE8">
        <w:rPr>
          <w:rFonts w:cs="Times New Roman"/>
        </w:rPr>
        <w:t>0.9×4</w:t>
      </w:r>
      <w:r>
        <w:rPr>
          <w:rFonts w:cs="Times New Roman"/>
        </w:rPr>
        <w:t>0 mm)</w:t>
      </w:r>
    </w:p>
    <w:p w14:paraId="26AE2CBE" w14:textId="77777777" w:rsidR="00E46914" w:rsidRPr="00236648" w:rsidRDefault="00E46914" w:rsidP="00E46914">
      <w:pPr>
        <w:pStyle w:val="Luettelokappale"/>
        <w:numPr>
          <w:ilvl w:val="0"/>
          <w:numId w:val="26"/>
        </w:numPr>
        <w:rPr>
          <w:rFonts w:cs="Times New Roman"/>
          <w:b/>
          <w:sz w:val="24"/>
          <w:szCs w:val="24"/>
        </w:rPr>
      </w:pPr>
      <w:r>
        <w:rPr>
          <w:rFonts w:cs="Times New Roman"/>
        </w:rPr>
        <w:t>4 x 1 ml kumimäntäruiskuja LUER</w:t>
      </w:r>
    </w:p>
    <w:p w14:paraId="02F74D38" w14:textId="77777777" w:rsidR="00E46914" w:rsidRPr="009923FA" w:rsidRDefault="00E46914" w:rsidP="00E46914">
      <w:pPr>
        <w:pStyle w:val="Luettelokappale"/>
        <w:numPr>
          <w:ilvl w:val="0"/>
          <w:numId w:val="26"/>
        </w:numPr>
        <w:rPr>
          <w:rFonts w:cs="Times New Roman"/>
          <w:b/>
          <w:sz w:val="24"/>
          <w:szCs w:val="24"/>
        </w:rPr>
      </w:pPr>
      <w:r>
        <w:rPr>
          <w:rFonts w:cs="Times New Roman"/>
        </w:rPr>
        <w:t>5 ml ruisku LUER</w:t>
      </w:r>
    </w:p>
    <w:p w14:paraId="645A08CD" w14:textId="77777777" w:rsidR="00E46914" w:rsidRPr="009923FA" w:rsidRDefault="00E46914" w:rsidP="00E46914">
      <w:pPr>
        <w:pStyle w:val="Luettelokappale"/>
        <w:numPr>
          <w:ilvl w:val="0"/>
          <w:numId w:val="26"/>
        </w:numPr>
        <w:rPr>
          <w:rFonts w:cs="Times New Roman"/>
          <w:b/>
          <w:sz w:val="24"/>
          <w:szCs w:val="24"/>
        </w:rPr>
      </w:pPr>
      <w:r>
        <w:rPr>
          <w:rFonts w:cs="Times New Roman"/>
        </w:rPr>
        <w:t>Lyhyt steriili anturipussi</w:t>
      </w:r>
    </w:p>
    <w:p w14:paraId="6D1087CC" w14:textId="77777777" w:rsidR="00E46914" w:rsidRPr="00A3508F" w:rsidRDefault="00E46914" w:rsidP="00E46914">
      <w:pPr>
        <w:pStyle w:val="Luettelokappale"/>
        <w:rPr>
          <w:rFonts w:cs="Times New Roman"/>
          <w:b/>
          <w:sz w:val="24"/>
          <w:szCs w:val="24"/>
        </w:rPr>
      </w:pPr>
    </w:p>
    <w:p w14:paraId="00B69262" w14:textId="77777777" w:rsidR="00E46914" w:rsidRPr="00192255" w:rsidRDefault="00E46914" w:rsidP="00E4691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Muut välineet:</w:t>
      </w:r>
    </w:p>
    <w:p w14:paraId="771A5FF6" w14:textId="77777777" w:rsidR="00E46914" w:rsidRPr="005F192E" w:rsidRDefault="00E46914" w:rsidP="00E46914">
      <w:pPr>
        <w:pStyle w:val="Luettelokappale"/>
        <w:numPr>
          <w:ilvl w:val="0"/>
          <w:numId w:val="26"/>
        </w:numPr>
        <w:rPr>
          <w:rFonts w:cs="Times New Roman"/>
          <w:b/>
          <w:sz w:val="24"/>
          <w:szCs w:val="24"/>
        </w:rPr>
      </w:pPr>
      <w:r>
        <w:rPr>
          <w:rFonts w:cs="Times New Roman"/>
        </w:rPr>
        <w:t>Toinen pesusetti</w:t>
      </w:r>
    </w:p>
    <w:p w14:paraId="49E06092" w14:textId="77777777" w:rsidR="00E46914" w:rsidRPr="00A3508F" w:rsidRDefault="00E46914" w:rsidP="00E46914">
      <w:pPr>
        <w:pStyle w:val="Luettelokappale"/>
        <w:numPr>
          <w:ilvl w:val="0"/>
          <w:numId w:val="26"/>
        </w:numPr>
        <w:rPr>
          <w:rFonts w:cs="Times New Roman"/>
          <w:b/>
        </w:rPr>
      </w:pPr>
      <w:r>
        <w:rPr>
          <w:rFonts w:cs="Times New Roman"/>
        </w:rPr>
        <w:t>4 kpl haavalappuja</w:t>
      </w:r>
    </w:p>
    <w:p w14:paraId="3FE59E53" w14:textId="77777777" w:rsidR="00E46914" w:rsidRPr="009923FA" w:rsidRDefault="00E46914" w:rsidP="00E46914">
      <w:pPr>
        <w:pStyle w:val="Luettelokappale"/>
        <w:numPr>
          <w:ilvl w:val="0"/>
          <w:numId w:val="26"/>
        </w:numPr>
        <w:rPr>
          <w:rFonts w:cs="Times New Roman"/>
          <w:b/>
        </w:rPr>
      </w:pPr>
      <w:r w:rsidRPr="00A3508F">
        <w:rPr>
          <w:rFonts w:cs="Times New Roman"/>
        </w:rPr>
        <w:t>20 ml NaCl-pullo</w:t>
      </w:r>
    </w:p>
    <w:p w14:paraId="66F7B576" w14:textId="77777777" w:rsidR="00E46914" w:rsidRPr="00CD3290" w:rsidRDefault="00E46914" w:rsidP="00E46914">
      <w:pPr>
        <w:pStyle w:val="Luettelokappale"/>
        <w:numPr>
          <w:ilvl w:val="0"/>
          <w:numId w:val="26"/>
        </w:numPr>
        <w:rPr>
          <w:rFonts w:cs="Times New Roman"/>
          <w:b/>
        </w:rPr>
      </w:pPr>
      <w:r>
        <w:rPr>
          <w:rFonts w:cs="Times New Roman"/>
        </w:rPr>
        <w:t>Botox-aine</w:t>
      </w:r>
    </w:p>
    <w:p w14:paraId="47F94B81" w14:textId="77777777" w:rsidR="00E46914" w:rsidRPr="009923FA" w:rsidRDefault="00E46914" w:rsidP="00E46914">
      <w:pPr>
        <w:pStyle w:val="Luettelokappale"/>
        <w:numPr>
          <w:ilvl w:val="0"/>
          <w:numId w:val="26"/>
        </w:numPr>
        <w:rPr>
          <w:rFonts w:cs="Times New Roman"/>
          <w:b/>
        </w:rPr>
      </w:pPr>
      <w:r>
        <w:rPr>
          <w:rFonts w:cs="Times New Roman"/>
        </w:rPr>
        <w:t xml:space="preserve">Ultraäänikone, </w:t>
      </w:r>
      <w:proofErr w:type="spellStart"/>
      <w:r>
        <w:rPr>
          <w:rFonts w:cs="Times New Roman"/>
        </w:rPr>
        <w:t>yleisangiosta</w:t>
      </w:r>
      <w:proofErr w:type="spellEnd"/>
    </w:p>
    <w:p w14:paraId="41D27352" w14:textId="77777777" w:rsidR="00E46914" w:rsidRPr="005F192E" w:rsidRDefault="00E46914" w:rsidP="00E46914">
      <w:pPr>
        <w:pStyle w:val="Otsikko20"/>
      </w:pPr>
      <w:r w:rsidRPr="00FE3A0F">
        <w:t>Tutkimuksen /toimenpiteen suoritus</w:t>
      </w:r>
    </w:p>
    <w:p w14:paraId="419EFA5D" w14:textId="77777777" w:rsidR="00E46914" w:rsidRPr="00D57E5B" w:rsidRDefault="00E46914" w:rsidP="00E46914">
      <w:pPr>
        <w:numPr>
          <w:ilvl w:val="0"/>
          <w:numId w:val="27"/>
        </w:numPr>
        <w:contextualSpacing/>
        <w:rPr>
          <w:b/>
        </w:rPr>
      </w:pPr>
      <w:r w:rsidRPr="00D57E5B">
        <w:t xml:space="preserve">Potilaan vastaanotto ja henkilöllisyyden tarkistus </w:t>
      </w:r>
    </w:p>
    <w:p w14:paraId="0AF79901" w14:textId="77777777" w:rsidR="00E46914" w:rsidRDefault="00E46914" w:rsidP="00E46914">
      <w:pPr>
        <w:numPr>
          <w:ilvl w:val="0"/>
          <w:numId w:val="27"/>
        </w:numPr>
        <w:ind w:right="567"/>
        <w:contextualSpacing/>
        <w:jc w:val="both"/>
      </w:pPr>
      <w:r w:rsidRPr="00D57E5B">
        <w:t>Tarkistetaan allergiat</w:t>
      </w:r>
    </w:p>
    <w:p w14:paraId="57B57F52" w14:textId="77777777" w:rsidR="00E46914" w:rsidRPr="00D57E5B" w:rsidRDefault="00E46914" w:rsidP="00E46914">
      <w:pPr>
        <w:numPr>
          <w:ilvl w:val="0"/>
          <w:numId w:val="27"/>
        </w:numPr>
        <w:ind w:right="567"/>
        <w:contextualSpacing/>
        <w:jc w:val="both"/>
      </w:pPr>
      <w:r>
        <w:t>Tarkistetaan ravinnotta olo anestesiapotilaalta</w:t>
      </w:r>
    </w:p>
    <w:p w14:paraId="68E26353" w14:textId="77777777" w:rsidR="00E46914" w:rsidRDefault="00E46914" w:rsidP="00E46914">
      <w:pPr>
        <w:numPr>
          <w:ilvl w:val="0"/>
          <w:numId w:val="27"/>
        </w:numPr>
        <w:ind w:right="567"/>
        <w:contextualSpacing/>
        <w:jc w:val="both"/>
      </w:pPr>
      <w:r w:rsidRPr="00D57E5B">
        <w:t>Kerrotaan toimenpiteestä</w:t>
      </w:r>
    </w:p>
    <w:p w14:paraId="50094EA1" w14:textId="77777777" w:rsidR="00E46914" w:rsidRDefault="00E46914" w:rsidP="00E46914">
      <w:pPr>
        <w:numPr>
          <w:ilvl w:val="0"/>
          <w:numId w:val="27"/>
        </w:numPr>
        <w:ind w:right="567"/>
        <w:contextualSpacing/>
        <w:jc w:val="both"/>
      </w:pPr>
      <w:r>
        <w:t>Nukutus tarvittaessa</w:t>
      </w:r>
    </w:p>
    <w:p w14:paraId="101A4A69" w14:textId="77777777" w:rsidR="00E46914" w:rsidRPr="00095DE4" w:rsidRDefault="00E46914" w:rsidP="00E46914">
      <w:pPr>
        <w:numPr>
          <w:ilvl w:val="0"/>
          <w:numId w:val="27"/>
        </w:numPr>
        <w:ind w:right="567"/>
        <w:contextualSpacing/>
        <w:jc w:val="both"/>
      </w:pPr>
      <w:r w:rsidRPr="00095DE4">
        <w:t>Potilaan hartian alle laitetaan esim. ohut tyyny parantamaan tutkimusasentoa</w:t>
      </w:r>
    </w:p>
    <w:p w14:paraId="5BA56267" w14:textId="77777777" w:rsidR="00E46914" w:rsidRPr="00D57E5B" w:rsidRDefault="00E46914" w:rsidP="00E46914">
      <w:pPr>
        <w:numPr>
          <w:ilvl w:val="0"/>
          <w:numId w:val="27"/>
        </w:numPr>
        <w:ind w:right="567"/>
        <w:contextualSpacing/>
        <w:jc w:val="both"/>
      </w:pPr>
      <w:r w:rsidRPr="00095DE4">
        <w:t>Lääkäri varmistaa aluksi ultraäänellä pistoskohdat</w:t>
      </w:r>
    </w:p>
    <w:p w14:paraId="72BCF576" w14:textId="77777777" w:rsidR="00E46914" w:rsidRDefault="00E46914" w:rsidP="00E46914">
      <w:pPr>
        <w:numPr>
          <w:ilvl w:val="0"/>
          <w:numId w:val="27"/>
        </w:numPr>
        <w:contextualSpacing/>
      </w:pPr>
      <w:r w:rsidRPr="00D57E5B">
        <w:t>Pistokohdan iho pestään tarpeeksi laajalti</w:t>
      </w:r>
      <w:r>
        <w:t>, yksi puoli kerrallaan</w:t>
      </w:r>
    </w:p>
    <w:p w14:paraId="5621AD39" w14:textId="77777777" w:rsidR="00E46914" w:rsidRPr="009923FA" w:rsidRDefault="00E46914" w:rsidP="00E46914">
      <w:pPr>
        <w:pStyle w:val="Luettelokappale"/>
        <w:numPr>
          <w:ilvl w:val="0"/>
          <w:numId w:val="27"/>
        </w:numPr>
        <w:rPr>
          <w:rFonts w:cs="Times New Roman"/>
          <w:b/>
        </w:rPr>
      </w:pPr>
      <w:r>
        <w:t>Lääkäri sekoittaa Botox-aineen käyttövalmiiksi: 2,1 ml NaCl laitetaan Botox-pulloon</w:t>
      </w:r>
    </w:p>
    <w:p w14:paraId="64FF3933" w14:textId="77777777" w:rsidR="00E46914" w:rsidRDefault="00E46914" w:rsidP="00E46914">
      <w:pPr>
        <w:numPr>
          <w:ilvl w:val="0"/>
          <w:numId w:val="27"/>
        </w:numPr>
        <w:contextualSpacing/>
      </w:pPr>
      <w:r w:rsidRPr="00D57E5B">
        <w:lastRenderedPageBreak/>
        <w:t>Avustetaan lääkäriä toimenpit</w:t>
      </w:r>
      <w:r>
        <w:t>eessä</w:t>
      </w:r>
    </w:p>
    <w:p w14:paraId="2E423D09" w14:textId="77777777" w:rsidR="00E46914" w:rsidRDefault="00E46914" w:rsidP="00E46914">
      <w:pPr>
        <w:numPr>
          <w:ilvl w:val="0"/>
          <w:numId w:val="27"/>
        </w:numPr>
        <w:contextualSpacing/>
      </w:pPr>
      <w:r>
        <w:t>Sylkirauhasiin pistetään hoitoainetta ultraääniohjauksessa suoraan ihon läpi neulalla. Yleensä hoito tehdään molemmin puolin sekä korvasylkirauhaseen että leuanalussylkirauhaseen</w:t>
      </w:r>
    </w:p>
    <w:p w14:paraId="3E2C3E23" w14:textId="77777777" w:rsidR="00E46914" w:rsidRDefault="00E46914" w:rsidP="00E46914">
      <w:pPr>
        <w:pStyle w:val="Luettelokappale"/>
        <w:numPr>
          <w:ilvl w:val="0"/>
          <w:numId w:val="27"/>
        </w:numPr>
      </w:pPr>
      <w:r>
        <w:t>Kirjaa potilaan hoitosuunnitelmaan mitä on tehty, seuranta-aika ja potilaan vointi</w:t>
      </w:r>
    </w:p>
    <w:p w14:paraId="4258A393" w14:textId="77777777" w:rsidR="00E46914" w:rsidRDefault="00E46914" w:rsidP="00E46914">
      <w:pPr>
        <w:pStyle w:val="Otsikko20"/>
        <w:rPr>
          <w:rFonts w:eastAsia="Times New Roman" w:cs="Times New Roman"/>
        </w:rPr>
      </w:pPr>
      <w:r w:rsidRPr="00FE3A0F">
        <w:t>Jälkihoito</w:t>
      </w:r>
      <w:r w:rsidRPr="00127912">
        <w:rPr>
          <w:rFonts w:eastAsia="Times New Roman" w:cs="Times New Roman"/>
        </w:rPr>
        <w:t xml:space="preserve"> </w:t>
      </w:r>
    </w:p>
    <w:p w14:paraId="5D881697" w14:textId="77777777" w:rsidR="00E46914" w:rsidRPr="00127912" w:rsidRDefault="00E46914" w:rsidP="00E46914">
      <w:pPr>
        <w:tabs>
          <w:tab w:val="left" w:pos="0"/>
          <w:tab w:val="left" w:pos="2552"/>
        </w:tabs>
        <w:rPr>
          <w:rFonts w:cs="Times New Roman"/>
        </w:rPr>
      </w:pPr>
      <w:r>
        <w:rPr>
          <w:rFonts w:cs="Times New Roman"/>
        </w:rPr>
        <w:t>Toimenpiteen jälkeinen seuranta on 2</w:t>
      </w:r>
      <w:r w:rsidRPr="00127912">
        <w:rPr>
          <w:rFonts w:cs="Times New Roman"/>
        </w:rPr>
        <w:t xml:space="preserve"> tuntia</w:t>
      </w:r>
      <w:r>
        <w:rPr>
          <w:rFonts w:cs="Times New Roman"/>
        </w:rPr>
        <w:t xml:space="preserve"> polikliinisilla potilailla. Haavalapun</w:t>
      </w:r>
      <w:r w:rsidRPr="00127912">
        <w:rPr>
          <w:rFonts w:cs="Times New Roman"/>
        </w:rPr>
        <w:t xml:space="preserve"> suljettu pistopaikka tulee olla kastelematta yksi vuorokausi tulehdusriskin takia.</w:t>
      </w:r>
    </w:p>
    <w:p w14:paraId="48D7970A" w14:textId="77777777" w:rsidR="00E46914" w:rsidRPr="00AE1235" w:rsidRDefault="00E46914" w:rsidP="00E46914">
      <w:pPr>
        <w:tabs>
          <w:tab w:val="left" w:pos="0"/>
          <w:tab w:val="left" w:pos="2552"/>
        </w:tabs>
        <w:rPr>
          <w:rFonts w:cs="Times New Roman"/>
        </w:rPr>
      </w:pPr>
      <w:r w:rsidRPr="00127912">
        <w:rPr>
          <w:rFonts w:cs="Times New Roman"/>
        </w:rPr>
        <w:t xml:space="preserve">Haavalapun voi poistaa yhden vuorokauden kuluttua. </w:t>
      </w:r>
    </w:p>
    <w:p w14:paraId="11CA41F6" w14:textId="77777777" w:rsidR="00E46914" w:rsidRDefault="00E46914" w:rsidP="00E46914">
      <w:pPr>
        <w:pStyle w:val="Otsikko20"/>
      </w:pPr>
      <w:r w:rsidRPr="00D21051">
        <w:t>Muuta huomioitavaa</w:t>
      </w:r>
    </w:p>
    <w:p w14:paraId="75A3DAA4" w14:textId="1AC3E430" w:rsidR="00071091" w:rsidRDefault="00071091" w:rsidP="00071091">
      <w:pPr>
        <w:pStyle w:val="Luettelokappale"/>
        <w:numPr>
          <w:ilvl w:val="0"/>
          <w:numId w:val="32"/>
        </w:numPr>
      </w:pPr>
      <w:r>
        <w:t xml:space="preserve">Käytä käsineitä Botoxia käsitellessäsi </w:t>
      </w:r>
    </w:p>
    <w:p w14:paraId="083E0FC4" w14:textId="77777777" w:rsidR="00071091" w:rsidRPr="00071091" w:rsidRDefault="00071091" w:rsidP="00071091"/>
    <w:p w14:paraId="1751405A" w14:textId="77777777" w:rsidR="00E46914" w:rsidRPr="002E1550" w:rsidRDefault="00E46914" w:rsidP="00E46914">
      <w:pPr>
        <w:tabs>
          <w:tab w:val="left" w:pos="2552"/>
        </w:tabs>
        <w:rPr>
          <w:b/>
        </w:rPr>
      </w:pPr>
      <w:r>
        <w:rPr>
          <w:b/>
        </w:rPr>
        <w:t xml:space="preserve">Botox ruiskujen ja ruiskepullojen hävittäminen </w:t>
      </w:r>
    </w:p>
    <w:p w14:paraId="231E8933" w14:textId="04F5C046" w:rsidR="00E46914" w:rsidRPr="002E1550" w:rsidRDefault="00E46914" w:rsidP="00E46914">
      <w:pPr>
        <w:tabs>
          <w:tab w:val="left" w:pos="2552"/>
        </w:tabs>
        <w:rPr>
          <w:b/>
        </w:rPr>
      </w:pPr>
      <w:r>
        <w:rPr>
          <w:b/>
        </w:rPr>
        <w:t>(</w:t>
      </w:r>
      <w:r w:rsidRPr="002E1550">
        <w:rPr>
          <w:b/>
        </w:rPr>
        <w:t>P</w:t>
      </w:r>
      <w:r w:rsidR="00071091">
        <w:rPr>
          <w:b/>
        </w:rPr>
        <w:t>OHDE</w:t>
      </w:r>
      <w:r w:rsidRPr="002E1550">
        <w:rPr>
          <w:b/>
        </w:rPr>
        <w:t xml:space="preserve"> lääkehoitosuunnitelma)</w:t>
      </w:r>
    </w:p>
    <w:p w14:paraId="5E0F6C18" w14:textId="77777777" w:rsidR="00D52282" w:rsidRDefault="00D52282" w:rsidP="00E46914">
      <w:pPr>
        <w:tabs>
          <w:tab w:val="left" w:pos="2127"/>
          <w:tab w:val="left" w:pos="2410"/>
          <w:tab w:val="left" w:pos="2552"/>
        </w:tabs>
        <w:rPr>
          <w:rFonts w:cs="Times New Roman"/>
          <w:b/>
        </w:rPr>
      </w:pPr>
    </w:p>
    <w:p w14:paraId="65822E76" w14:textId="4A5FF38E" w:rsidR="00E46914" w:rsidRPr="00016657" w:rsidRDefault="00E46914" w:rsidP="00E46914">
      <w:pPr>
        <w:tabs>
          <w:tab w:val="left" w:pos="2127"/>
          <w:tab w:val="left" w:pos="2410"/>
          <w:tab w:val="left" w:pos="2552"/>
        </w:tabs>
        <w:rPr>
          <w:rFonts w:cs="Times New Roman"/>
          <w:b/>
        </w:rPr>
      </w:pPr>
      <w:r w:rsidRPr="00016657">
        <w:rPr>
          <w:rFonts w:cs="Times New Roman"/>
          <w:b/>
        </w:rPr>
        <w:t>Neulat</w:t>
      </w:r>
    </w:p>
    <w:p w14:paraId="4E3D42E7" w14:textId="77777777" w:rsidR="00E46914" w:rsidRPr="001310CF" w:rsidRDefault="00E46914" w:rsidP="00E46914">
      <w:pPr>
        <w:pStyle w:val="Luettelokappale"/>
        <w:numPr>
          <w:ilvl w:val="0"/>
          <w:numId w:val="30"/>
        </w:numPr>
        <w:rPr>
          <w:rFonts w:cs="Times New Roman"/>
        </w:rPr>
      </w:pPr>
      <w:r>
        <w:rPr>
          <w:rFonts w:cs="Times New Roman"/>
        </w:rPr>
        <w:t>Käytetyt Botox-</w:t>
      </w:r>
      <w:r w:rsidRPr="001310CF">
        <w:rPr>
          <w:rFonts w:cs="Times New Roman"/>
        </w:rPr>
        <w:t>neulat ja muut viiltävät tai pistävät jätteet laitetaan normaalisti neulankeräysa</w:t>
      </w:r>
      <w:r>
        <w:rPr>
          <w:rFonts w:cs="Times New Roman"/>
        </w:rPr>
        <w:t xml:space="preserve">stiaan. </w:t>
      </w:r>
    </w:p>
    <w:p w14:paraId="1F3C7030" w14:textId="77777777" w:rsidR="00E46914" w:rsidRPr="002E1550" w:rsidRDefault="00E46914" w:rsidP="00E46914">
      <w:pPr>
        <w:spacing w:line="120" w:lineRule="auto"/>
        <w:rPr>
          <w:b/>
        </w:rPr>
      </w:pPr>
    </w:p>
    <w:p w14:paraId="6CA893DD" w14:textId="77777777" w:rsidR="00E46914" w:rsidRPr="002E1550" w:rsidRDefault="00E46914" w:rsidP="00E46914">
      <w:pPr>
        <w:rPr>
          <w:b/>
        </w:rPr>
      </w:pPr>
      <w:r w:rsidRPr="002E1550">
        <w:rPr>
          <w:b/>
        </w:rPr>
        <w:t xml:space="preserve">Ruiskut </w:t>
      </w:r>
    </w:p>
    <w:p w14:paraId="29359DF8" w14:textId="4F49A6F2" w:rsidR="00896522" w:rsidRPr="002E1550" w:rsidRDefault="00E46914" w:rsidP="00896522">
      <w:pPr>
        <w:pStyle w:val="Luettelokappale"/>
        <w:numPr>
          <w:ilvl w:val="0"/>
          <w:numId w:val="28"/>
        </w:numPr>
      </w:pPr>
      <w:r w:rsidRPr="002E1550">
        <w:t xml:space="preserve">Ruiskut laitetaan polttokelpoiseen jätteeseen. </w:t>
      </w:r>
      <w:r w:rsidR="00896522">
        <w:t xml:space="preserve">Ruiskuun jäävä pieni liuosmäärä (”tyhjä ruisku”) </w:t>
      </w:r>
      <w:proofErr w:type="spellStart"/>
      <w:r w:rsidR="00896522">
        <w:t>inaktivoituu</w:t>
      </w:r>
      <w:proofErr w:type="spellEnd"/>
      <w:r w:rsidR="00896522">
        <w:t xml:space="preserve"> nopeasti huoneenlämmössä ilman vaikutuksesta. </w:t>
      </w:r>
    </w:p>
    <w:p w14:paraId="40DE7022" w14:textId="3612E3DD" w:rsidR="00E46914" w:rsidRDefault="00E46914" w:rsidP="00E46914">
      <w:pPr>
        <w:pStyle w:val="Luettelokappale"/>
        <w:numPr>
          <w:ilvl w:val="0"/>
          <w:numId w:val="28"/>
        </w:numPr>
      </w:pPr>
      <w:r w:rsidRPr="002E1550">
        <w:t xml:space="preserve">Mikäli ruiskuun jää </w:t>
      </w:r>
      <w:r w:rsidR="00896522">
        <w:t xml:space="preserve">isompi </w:t>
      </w:r>
      <w:r w:rsidRPr="002E1550">
        <w:t xml:space="preserve">lääkejäämää, </w:t>
      </w:r>
      <w:proofErr w:type="spellStart"/>
      <w:r w:rsidRPr="002E1550">
        <w:t>inaktivoidaan</w:t>
      </w:r>
      <w:proofErr w:type="spellEnd"/>
      <w:r w:rsidRPr="002E1550">
        <w:t xml:space="preserve"> </w:t>
      </w:r>
      <w:r w:rsidR="00896522">
        <w:t xml:space="preserve">se lisäämällä siihen 2 ml </w:t>
      </w:r>
      <w:r>
        <w:t>natriumhypokloriittiliuo</w:t>
      </w:r>
      <w:r w:rsidR="00896522">
        <w:t>sta (</w:t>
      </w:r>
      <w:proofErr w:type="spellStart"/>
      <w:r w:rsidR="00896522">
        <w:t>Canasol</w:t>
      </w:r>
      <w:proofErr w:type="spellEnd"/>
      <w:r w:rsidR="00896522">
        <w:t xml:space="preserve">® </w:t>
      </w:r>
      <w:proofErr w:type="gramStart"/>
      <w:r w:rsidR="00896522">
        <w:t>1%</w:t>
      </w:r>
      <w:proofErr w:type="gramEnd"/>
      <w:r w:rsidR="00896522">
        <w:t>)</w:t>
      </w:r>
      <w:r w:rsidRPr="002E1550">
        <w:t>. Ruisku suljetaan korkilla ja palautetaan lääkejätteenä jäteasemalle.</w:t>
      </w:r>
      <w:r w:rsidR="00896522">
        <w:t xml:space="preserve"> Kirjoita ruiskuun INAKTIVOITU.</w:t>
      </w:r>
      <w:r w:rsidRPr="002E1550">
        <w:t xml:space="preserve"> </w:t>
      </w:r>
    </w:p>
    <w:p w14:paraId="30809155" w14:textId="77777777" w:rsidR="00E46914" w:rsidRPr="002E1550" w:rsidRDefault="00E46914" w:rsidP="00E46914">
      <w:pPr>
        <w:pStyle w:val="Luettelokappale"/>
        <w:spacing w:line="120" w:lineRule="auto"/>
      </w:pPr>
    </w:p>
    <w:p w14:paraId="4F544092" w14:textId="77777777" w:rsidR="00E46914" w:rsidRPr="002E1550" w:rsidRDefault="00E46914" w:rsidP="00E46914">
      <w:pPr>
        <w:rPr>
          <w:b/>
        </w:rPr>
      </w:pPr>
      <w:r w:rsidRPr="002E1550">
        <w:rPr>
          <w:b/>
        </w:rPr>
        <w:t xml:space="preserve">Ruiskepullot eli </w:t>
      </w:r>
      <w:proofErr w:type="spellStart"/>
      <w:r w:rsidRPr="002E1550">
        <w:rPr>
          <w:b/>
        </w:rPr>
        <w:t>lagenulat</w:t>
      </w:r>
      <w:proofErr w:type="spellEnd"/>
      <w:r w:rsidRPr="002E1550">
        <w:rPr>
          <w:b/>
        </w:rPr>
        <w:t xml:space="preserve"> </w:t>
      </w:r>
    </w:p>
    <w:p w14:paraId="6E3E00F2" w14:textId="23DD40B4" w:rsidR="00E46914" w:rsidRPr="002E1550" w:rsidRDefault="00E46914" w:rsidP="00E46914">
      <w:pPr>
        <w:pStyle w:val="Luettelokappale"/>
        <w:numPr>
          <w:ilvl w:val="0"/>
          <w:numId w:val="29"/>
        </w:numPr>
      </w:pPr>
      <w:r w:rsidRPr="002E1550">
        <w:t xml:space="preserve">Mikäli ruiskepulloon jää käyttämätöntä liuosta, </w:t>
      </w:r>
      <w:proofErr w:type="spellStart"/>
      <w:r w:rsidR="00896522" w:rsidRPr="002E1550">
        <w:t>inaktivoidaan</w:t>
      </w:r>
      <w:proofErr w:type="spellEnd"/>
      <w:r w:rsidR="00896522" w:rsidRPr="002E1550">
        <w:t xml:space="preserve"> </w:t>
      </w:r>
      <w:r w:rsidR="00896522">
        <w:t>se lisäämällä siihen 2 ml natriumhypokloriittiliuosta (</w:t>
      </w:r>
      <w:proofErr w:type="spellStart"/>
      <w:r w:rsidR="00896522">
        <w:t>Canasol</w:t>
      </w:r>
      <w:proofErr w:type="spellEnd"/>
      <w:r w:rsidR="00896522">
        <w:t xml:space="preserve">® </w:t>
      </w:r>
      <w:proofErr w:type="gramStart"/>
      <w:r w:rsidR="00896522">
        <w:t>1%</w:t>
      </w:r>
      <w:proofErr w:type="gramEnd"/>
      <w:r w:rsidR="00896522">
        <w:t>)</w:t>
      </w:r>
      <w:r w:rsidR="00896522" w:rsidRPr="002E1550">
        <w:t>.</w:t>
      </w:r>
      <w:r w:rsidR="00896522">
        <w:t xml:space="preserve"> Kirjoita pulloon INAKTIVOITU. </w:t>
      </w:r>
      <w:proofErr w:type="spellStart"/>
      <w:r w:rsidRPr="002E1550">
        <w:t>Inaktivoitu</w:t>
      </w:r>
      <w:proofErr w:type="spellEnd"/>
      <w:r w:rsidRPr="002E1550">
        <w:t xml:space="preserve"> botuliinitoksiini palautetaan lääkejätteenä</w:t>
      </w:r>
      <w:r w:rsidR="00896522">
        <w:t xml:space="preserve"> </w:t>
      </w:r>
      <w:r w:rsidRPr="002E1550">
        <w:t xml:space="preserve">huolellisesti suljettuna jäteasemalle. </w:t>
      </w:r>
    </w:p>
    <w:p w14:paraId="762F367A" w14:textId="2A744AA2" w:rsidR="00AD4BCD" w:rsidRPr="00AD4BCD" w:rsidRDefault="00AD4BCD" w:rsidP="001A0D1F"/>
    <w:sectPr w:rsidR="00AD4BCD" w:rsidRPr="00AD4BCD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1A0D1F">
      <w:r>
        <w:separator/>
      </w:r>
    </w:p>
  </w:endnote>
  <w:endnote w:type="continuationSeparator" w:id="0">
    <w:p w14:paraId="60F1DD15" w14:textId="77777777" w:rsidR="009D2375" w:rsidRDefault="009D2375" w:rsidP="001A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1A0D1F">
          <w:pPr>
            <w:pStyle w:val="Alatunniste"/>
            <w:ind w:left="4143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7BA56F24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7BF2F26A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E46914">
                            <w:rPr>
                              <w:sz w:val="18"/>
                              <w:szCs w:val="18"/>
                            </w:rPr>
                            <w:t>Rantala Tiina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7BF2F26A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Laatija: </w:t>
                    </w:r>
                    <w:r w:rsidR="00E46914">
                      <w:rPr>
                        <w:sz w:val="18"/>
                        <w:szCs w:val="18"/>
                      </w:rPr>
                      <w:t>Rantala Tiina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0A47CFBE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E46914">
                            <w:rPr>
                              <w:sz w:val="18"/>
                              <w:szCs w:val="18"/>
                            </w:rPr>
                            <w:t>Palosaari Kari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0A47CFBE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E46914">
                      <w:rPr>
                        <w:sz w:val="18"/>
                        <w:szCs w:val="18"/>
                      </w:rPr>
                      <w:t>Palosaari Kari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46914">
          <w:rPr>
            <w:sz w:val="16"/>
            <w:szCs w:val="16"/>
          </w:rPr>
          <w:t xml:space="preserve">Sylkirauhasen </w:t>
        </w:r>
        <w:proofErr w:type="spellStart"/>
        <w:r w:rsidR="00E46914">
          <w:rPr>
            <w:sz w:val="16"/>
            <w:szCs w:val="16"/>
          </w:rPr>
          <w:t>botulinumtoksiini</w:t>
        </w:r>
        <w:proofErr w:type="spellEnd"/>
        <w:r w:rsidR="00E46914">
          <w:rPr>
            <w:sz w:val="16"/>
            <w:szCs w:val="16"/>
          </w:rPr>
          <w:t xml:space="preserve">-injektio </w:t>
        </w:r>
        <w:proofErr w:type="spellStart"/>
        <w:r w:rsidR="00E46914">
          <w:rPr>
            <w:sz w:val="16"/>
            <w:szCs w:val="16"/>
          </w:rPr>
          <w:t>kuv</w:t>
        </w:r>
        <w:proofErr w:type="spellEnd"/>
        <w:r w:rsidR="00E46914">
          <w:rPr>
            <w:sz w:val="16"/>
            <w:szCs w:val="16"/>
          </w:rPr>
          <w:t xml:space="preserve"> </w:t>
        </w:r>
        <w:proofErr w:type="spellStart"/>
        <w:r w:rsidR="00E46914">
          <w:rPr>
            <w:sz w:val="16"/>
            <w:szCs w:val="16"/>
          </w:rPr>
          <w:t>men</w:t>
        </w:r>
        <w:proofErr w:type="spellEnd"/>
      </w:sdtContent>
    </w:sdt>
  </w:p>
  <w:p w14:paraId="7CC21439" w14:textId="291F25CF" w:rsidR="00824166" w:rsidRPr="00597075" w:rsidRDefault="00824166" w:rsidP="001A0D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1A0D1F">
      <w:r>
        <w:separator/>
      </w:r>
    </w:p>
  </w:footnote>
  <w:footnote w:type="continuationSeparator" w:id="0">
    <w:p w14:paraId="7BDD19BC" w14:textId="77777777" w:rsidR="009D2375" w:rsidRDefault="009D2375" w:rsidP="001A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1A0D1F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1A0D1F">
          <w:r w:rsidRPr="004E7FC1">
            <w:fldChar w:fldCharType="begin"/>
          </w:r>
          <w:r w:rsidRPr="004E7FC1">
            <w:instrText>PAGE  \* Arabic  \* MERGEFORMAT</w:instrText>
          </w:r>
          <w:r w:rsidRPr="004E7FC1">
            <w:fldChar w:fldCharType="separate"/>
          </w:r>
          <w:r w:rsidRPr="004E7FC1">
            <w:t>1</w:t>
          </w:r>
          <w:r w:rsidRPr="004E7FC1">
            <w:fldChar w:fldCharType="end"/>
          </w:r>
          <w:r w:rsidRPr="004E7FC1">
            <w:t xml:space="preserve"> (</w:t>
          </w:r>
          <w:fldSimple w:instr="NUMPAGES  \* Arabic  \* MERGEFORMAT">
            <w:r w:rsidRPr="004E7FC1">
              <w:t>2</w:t>
            </w:r>
          </w:fldSimple>
          <w:r w:rsidRPr="004E7FC1"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2-0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50BA994E" w:rsidR="000631E7" w:rsidRPr="004E7FC1" w:rsidRDefault="00D52282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8.2.2024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1A0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182CDC"/>
    <w:multiLevelType w:val="hybridMultilevel"/>
    <w:tmpl w:val="A2BC84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97E77"/>
    <w:multiLevelType w:val="hybridMultilevel"/>
    <w:tmpl w:val="C3401E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D75F0"/>
    <w:multiLevelType w:val="hybridMultilevel"/>
    <w:tmpl w:val="8D50A1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01ABF"/>
    <w:multiLevelType w:val="hybridMultilevel"/>
    <w:tmpl w:val="7408DC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5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23B42"/>
    <w:multiLevelType w:val="hybridMultilevel"/>
    <w:tmpl w:val="D07EF5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9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50B773A"/>
    <w:multiLevelType w:val="hybridMultilevel"/>
    <w:tmpl w:val="556A3D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3D4220F"/>
    <w:multiLevelType w:val="hybridMultilevel"/>
    <w:tmpl w:val="884421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E2612A1"/>
    <w:multiLevelType w:val="hybridMultilevel"/>
    <w:tmpl w:val="D91EDF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8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8"/>
  </w:num>
  <w:num w:numId="3" w16cid:durableId="1214081591">
    <w:abstractNumId w:val="1"/>
  </w:num>
  <w:num w:numId="4" w16cid:durableId="334958258">
    <w:abstractNumId w:val="27"/>
  </w:num>
  <w:num w:numId="5" w16cid:durableId="1641032995">
    <w:abstractNumId w:val="0"/>
  </w:num>
  <w:num w:numId="6" w16cid:durableId="2063944667">
    <w:abstractNumId w:val="14"/>
  </w:num>
  <w:num w:numId="7" w16cid:durableId="1862237714">
    <w:abstractNumId w:val="22"/>
  </w:num>
  <w:num w:numId="8" w16cid:durableId="1754813634">
    <w:abstractNumId w:val="22"/>
  </w:num>
  <w:num w:numId="9" w16cid:durableId="1606114846">
    <w:abstractNumId w:val="22"/>
  </w:num>
  <w:num w:numId="10" w16cid:durableId="1477645058">
    <w:abstractNumId w:val="4"/>
  </w:num>
  <w:num w:numId="11" w16cid:durableId="841121598">
    <w:abstractNumId w:val="25"/>
  </w:num>
  <w:num w:numId="12" w16cid:durableId="225991095">
    <w:abstractNumId w:val="15"/>
  </w:num>
  <w:num w:numId="13" w16cid:durableId="70978191">
    <w:abstractNumId w:val="11"/>
  </w:num>
  <w:num w:numId="14" w16cid:durableId="240528770">
    <w:abstractNumId w:val="19"/>
  </w:num>
  <w:num w:numId="15" w16cid:durableId="452208856">
    <w:abstractNumId w:val="23"/>
  </w:num>
  <w:num w:numId="16" w16cid:durableId="1796949018">
    <w:abstractNumId w:val="12"/>
  </w:num>
  <w:num w:numId="17" w16cid:durableId="627246728">
    <w:abstractNumId w:val="5"/>
  </w:num>
  <w:num w:numId="18" w16cid:durableId="1203321292">
    <w:abstractNumId w:val="16"/>
  </w:num>
  <w:num w:numId="19" w16cid:durableId="338584785">
    <w:abstractNumId w:val="6"/>
  </w:num>
  <w:num w:numId="20" w16cid:durableId="1700349936">
    <w:abstractNumId w:val="28"/>
  </w:num>
  <w:num w:numId="21" w16cid:durableId="2002350878">
    <w:abstractNumId w:val="29"/>
  </w:num>
  <w:num w:numId="22" w16cid:durableId="204828846">
    <w:abstractNumId w:val="21"/>
  </w:num>
  <w:num w:numId="23" w16cid:durableId="440537796">
    <w:abstractNumId w:val="10"/>
  </w:num>
  <w:num w:numId="24" w16cid:durableId="495077311">
    <w:abstractNumId w:val="13"/>
  </w:num>
  <w:num w:numId="25" w16cid:durableId="873273625">
    <w:abstractNumId w:val="20"/>
  </w:num>
  <w:num w:numId="26" w16cid:durableId="2147161383">
    <w:abstractNumId w:val="3"/>
  </w:num>
  <w:num w:numId="27" w16cid:durableId="766659641">
    <w:abstractNumId w:val="24"/>
  </w:num>
  <w:num w:numId="28" w16cid:durableId="1884366922">
    <w:abstractNumId w:val="17"/>
  </w:num>
  <w:num w:numId="29" w16cid:durableId="1695030871">
    <w:abstractNumId w:val="8"/>
  </w:num>
  <w:num w:numId="30" w16cid:durableId="368342588">
    <w:abstractNumId w:val="7"/>
  </w:num>
  <w:num w:numId="31" w16cid:durableId="1079014354">
    <w:abstractNumId w:val="26"/>
  </w:num>
  <w:num w:numId="32" w16cid:durableId="11235710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71091"/>
    <w:rsid w:val="001075B7"/>
    <w:rsid w:val="0010766A"/>
    <w:rsid w:val="00122EED"/>
    <w:rsid w:val="001553A0"/>
    <w:rsid w:val="0016272C"/>
    <w:rsid w:val="001A0D1F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9652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D4BCD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52282"/>
    <w:rsid w:val="00D725DD"/>
    <w:rsid w:val="00D9023B"/>
    <w:rsid w:val="00DA4D60"/>
    <w:rsid w:val="00DB41B2"/>
    <w:rsid w:val="00DE2F16"/>
    <w:rsid w:val="00DE4771"/>
    <w:rsid w:val="00DF19CC"/>
    <w:rsid w:val="00E04FF8"/>
    <w:rsid w:val="00E46914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0D1F"/>
    <w:pPr>
      <w:spacing w:after="0" w:line="240" w:lineRule="auto"/>
    </w:pPr>
    <w:rPr>
      <w:rFonts w:asciiTheme="majorHAnsi" w:eastAsia="Times New Roman" w:hAnsiTheme="majorHAnsi" w:cstheme="majorHAnsi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eastAsiaTheme="majorEastAsia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eastAsiaTheme="majorEastAsia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eastAsiaTheme="majorEastAsia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eastAsiaTheme="majorEastAsia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1A0D1F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intranet/Ohjeet/Ohjeet%20henkilkunnalle/Biopsiasetit%20ultra&#228;&#228;ni%20oys%20kuv%20men.docx" TargetMode="Externa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2175</Value>
      <Value>353</Value>
      <Value>981</Value>
      <Value>1081</Value>
      <Value>41</Value>
      <Value>44</Value>
      <Value>821</Value>
      <Value>1313</Value>
      <Value>2145</Value>
      <Value>57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i:0#.w|oysnet\rantalti</DisplayName>
        <AccountId>200</AccountId>
        <AccountType/>
      </UserInfo>
      <UserInfo>
        <DisplayName>i:0#.w|oysnet\suominai</DisplayName>
        <AccountId>199</AccountId>
        <AccountType/>
      </UserInfo>
      <UserInfo>
        <DisplayName>i:0#.w|oysnet\sarrelee</DisplayName>
        <AccountId>543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Neuroangio</TermName>
          <TermId xmlns="http://schemas.microsoft.com/office/infopath/2007/PartnerControls">51874ab9-1df8-44a1-a830-28d72fcd362c</TermId>
        </TermInfo>
      </Terms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Röntgenhoitaja</TermName>
          <TermId xmlns="http://schemas.microsoft.com/office/infopath/2007/PartnerControls">87749f40-9dd6-4336-880b-6e514005b72a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5.8.4 Tutkimusohjeet</TermName>
          <TermId xmlns="http://schemas.microsoft.com/office/infopath/2007/PartnerControls">2d8155d7-dea6-4b8d-8e6f-63e1e94b02b6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XX2AT Muu injektio UÄ-ohjauksessa</TermName>
          <TermId xmlns="http://schemas.microsoft.com/office/infopath/2007/PartnerControls">f4d74363-3149-4dfb-93a9-570e438b51b5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i:0#.w|oysnet\palosaka</DisplayName>
        <AccountId>1886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Toimenpide</TermName>
          <TermId xmlns="http://schemas.microsoft.com/office/infopath/2007/PartnerControls">a609b0a8-5073-411a-920b-7ca493e1ea06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MUAVRSSTWASF-628417917-615</_dlc_DocId>
    <_dlc_DocIdUrl xmlns="d3e50268-7799-48af-83c3-9a9b063078bc">
      <Url>https://internet.oysnet.ppshp.fi/dokumentit/_layouts/15/DocIdRedir.aspx?ID=MUAVRSSTWASF-628417917-615</Url>
      <Description>MUAVRSSTWASF-628417917-615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A17C78-C5EA-4872-9624-D82293824859}"/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35773-6CF2-4493-997C-3AB37A3BD2F0}">
  <ds:schemaRefs>
    <ds:schemaRef ds:uri="d3e50268-7799-48af-83c3-9a9b063078bc"/>
    <ds:schemaRef ds:uri="http://purl.org/dc/elements/1.1/"/>
    <ds:schemaRef ds:uri="http://schemas.microsoft.com/office/2006/metadata/properties"/>
    <ds:schemaRef ds:uri="http://schemas.microsoft.com/office/infopath/2007/PartnerControls"/>
    <ds:schemaRef ds:uri="cb4b6cf5-75ed-4a36-b44a-d4264faaec1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5DFCD3B-DC51-4B96-9A29-0B8CE81FF147}"/>
</file>

<file path=customXml/itemProps6.xml><?xml version="1.0" encoding="utf-8"?>
<ds:datastoreItem xmlns:ds="http://schemas.openxmlformats.org/officeDocument/2006/customXml" ds:itemID="{4A429922-A4A8-41F2-95B7-E79B5DE734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Sylkirauhasen botulinumtoksiini-injektio kuv men</dc:title>
  <dc:subject/>
  <dc:creator/>
  <cp:keywords/>
  <dc:description/>
  <cp:lastModifiedBy/>
  <cp:revision>1</cp:revision>
  <dcterms:created xsi:type="dcterms:W3CDTF">2024-01-19T09:38:00Z</dcterms:created>
  <dcterms:modified xsi:type="dcterms:W3CDTF">2024-02-08T12:35:00Z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981;#Toimenpide|a609b0a8-5073-411a-920b-7ca493e1ea06</vt:lpwstr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>1081;#Neuroangio|51874ab9-1df8-44a1-a830-28d72fcd362c</vt:lpwstr>
  </property>
  <property fmtid="{D5CDD505-2E9C-101B-9397-08002B2CF9AE}" pid="17" name="_dlc_DocIdItemGuid">
    <vt:lpwstr>0c8422a1-6ec8-45a7-a799-8ea6998327a0</vt:lpwstr>
  </property>
  <property fmtid="{D5CDD505-2E9C-101B-9397-08002B2CF9AE}" pid="18" name="Kuvantamisen ohjeen elinryhmät (sisältötyypin metatieto)">
    <vt:lpwstr/>
  </property>
  <property fmtid="{D5CDD505-2E9C-101B-9397-08002B2CF9AE}" pid="19" name="Erikoisala">
    <vt:lpwstr>44;#radiologia (PPSHP)|347958ae-6fb2-4668-a725-1f6de5332102</vt:lpwstr>
  </property>
  <property fmtid="{D5CDD505-2E9C-101B-9397-08002B2CF9AE}" pid="20" name="Organisaatiotiedon tarkennus toiminnan mukaan">
    <vt:lpwstr/>
  </property>
  <property fmtid="{D5CDD505-2E9C-101B-9397-08002B2CF9AE}" pid="21" name="Kriisiviestintä">
    <vt:lpwstr/>
  </property>
  <property fmtid="{D5CDD505-2E9C-101B-9397-08002B2CF9AE}" pid="22" name="Toiminnanohjauskäsikirja">
    <vt:lpwstr>2145;#5.8.4 Tutkimusohjeet|2d8155d7-dea6-4b8d-8e6f-63e1e94b02b6</vt:lpwstr>
  </property>
  <property fmtid="{D5CDD505-2E9C-101B-9397-08002B2CF9AE}" pid="23" name="Kuvantamisen ohjeen tutkimusryhmät (sisältötyypin metatieto)">
    <vt:lpwstr>57;#Ultraääni|4f08c06f-311d-4072-8d29-e53fb16e4043</vt:lpwstr>
  </property>
  <property fmtid="{D5CDD505-2E9C-101B-9397-08002B2CF9AE}" pid="24" name="Organisaatiotieto">
    <vt:lpwstr>41;#Kuvantaminen|13fd9652-4cc4-4c00-9faf-49cd9c600ecb</vt:lpwstr>
  </property>
  <property fmtid="{D5CDD505-2E9C-101B-9397-08002B2CF9AE}" pid="25" name="Kuvantamisen tilaaja vai menetelmä">
    <vt:lpwstr>1313;#Menetelmäohje|8d7551ed-f25f-4658-af35-e281bf9731e8</vt:lpwstr>
  </property>
  <property fmtid="{D5CDD505-2E9C-101B-9397-08002B2CF9AE}" pid="26" name="Toimenpidekoodit">
    <vt:lpwstr>2175;#XX2AT Muu injektio UÄ-ohjauksessa|f4d74363-3149-4dfb-93a9-570e438b51b5</vt:lpwstr>
  </property>
  <property fmtid="{D5CDD505-2E9C-101B-9397-08002B2CF9AE}" pid="27" name="MEO">
    <vt:lpwstr/>
  </property>
  <property fmtid="{D5CDD505-2E9C-101B-9397-08002B2CF9AE}" pid="28" name="Kohde- / työntekijäryhmä">
    <vt:lpwstr>353;#Röntgenhoitaja|87749f40-9dd6-4336-880b-6e514005b72a</vt:lpwstr>
  </property>
  <property fmtid="{D5CDD505-2E9C-101B-9397-08002B2CF9AE}" pid="29" name="Kohdeorganisaatio">
    <vt:lpwstr>41;#Kuvantaminen|13fd9652-4cc4-4c00-9faf-49cd9c600ecb</vt:lpwstr>
  </property>
  <property fmtid="{D5CDD505-2E9C-101B-9397-08002B2CF9AE}" pid="30" name="Order">
    <vt:r8>978700</vt:r8>
  </property>
  <property fmtid="{D5CDD505-2E9C-101B-9397-08002B2CF9AE}" pid="32" name="TaxKeywordTaxHTField">
    <vt:lpwstr/>
  </property>
  <property fmtid="{D5CDD505-2E9C-101B-9397-08002B2CF9AE}" pid="33" name="SharedWithUsers">
    <vt:lpwstr/>
  </property>
</Properties>
</file>